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SEBI Plans Comprehensive Overhaul of SME IPO Framework</w:t>
      </w:r>
    </w:p>
    <w:p>
      <w:pPr>
        <w:spacing w:after="160"/>
      </w:pPr>
      <w:r>
        <w:t>SEBI is undertaking a comprehensive review of the regulatory framework governing SME IPOs and delisting, with a focus on reducing costs, improving market access and strengthening the overall SME capital-market ecosystem.</w:t>
      </w:r>
    </w:p>
    <w:p>
      <w:pPr>
        <w:spacing w:after="160"/>
      </w:pPr>
      <w:r>
        <w:t>The review highlights concerns that market-making requirements can add significant costs for small-company IPOs, making it important to reassess the existing framework.</w:t>
      </w:r>
    </w:p>
    <w:p>
      <w:pPr>
        <w:spacing w:after="160"/>
      </w:pPr>
      <w:r>
        <w:t>The proposed reforms could have wider implications for:</w:t>
      </w:r>
    </w:p>
    <w:p>
      <w:pPr>
        <w:pStyle w:val="ListBullet"/>
      </w:pPr>
      <w:r>
        <w:t>SME IPO eligibility and listing thresholds</w:t>
      </w:r>
    </w:p>
    <w:p>
      <w:pPr>
        <w:pStyle w:val="ListBullet"/>
      </w:pPr>
      <w:r>
        <w:t>Market-making requirements and associated costs</w:t>
      </w:r>
    </w:p>
    <w:p>
      <w:pPr>
        <w:pStyle w:val="ListBullet"/>
      </w:pPr>
      <w:r>
        <w:t>Mandatory underwriting</w:t>
      </w:r>
    </w:p>
    <w:p>
      <w:pPr>
        <w:pStyle w:val="ListBullet"/>
      </w:pPr>
      <w:r>
        <w:t>Minimum trading/application lot sizes</w:t>
      </w:r>
    </w:p>
    <w:p>
      <w:pPr>
        <w:pStyle w:val="ListBullet"/>
      </w:pPr>
      <w:r>
        <w:t>Offer for Sale (OFS) framework</w:t>
      </w:r>
    </w:p>
    <w:p>
      <w:pPr>
        <w:pStyle w:val="ListBullet"/>
      </w:pPr>
      <w:r>
        <w:t>Promoter and pre-issue share lock-in requirements</w:t>
      </w:r>
    </w:p>
    <w:p>
      <w:pPr>
        <w:pStyle w:val="ListBullet"/>
      </w:pPr>
      <w:r>
        <w:t>General Corporate Purpose (GCP) limits</w:t>
      </w:r>
    </w:p>
    <w:p>
      <w:pPr>
        <w:pStyle w:val="ListBullet"/>
      </w:pPr>
      <w:r>
        <w:t>Profitability criteria for SME issuers</w:t>
      </w:r>
    </w:p>
    <w:p>
      <w:pPr>
        <w:spacing w:after="160"/>
      </w:pPr>
      <w:r>
        <w:t>Reports indicate that SEBI is also considering a market-capitalisation-based approach to determine whether companies should list on the SME platform or the main board.</w:t>
      </w:r>
    </w:p>
    <w:p>
      <w:pPr>
        <w:spacing w:after="160"/>
      </w:pPr>
      <w:r>
        <w:t>The review comes at an important time, with the SME IPO segment witnessing significant growth and increasing participation from investors.</w:t>
      </w:r>
    </w:p>
    <w:p>
      <w:pPr>
        <w:spacing w:after="160"/>
      </w:pPr>
      <w:r>
        <w:t>A well-calibrated framework could help achieve the right balance between:</w:t>
      </w:r>
    </w:p>
    <w:p>
      <w:pPr>
        <w:jc w:val="center"/>
      </w:pPr>
      <w:r>
        <w:rPr>
          <w:b/>
        </w:rPr>
        <w:t>Ease of Capital Raising  +  Lower Compliance Costs  +  Better Liquidity  +  Strong Investor Protection</w:t>
      </w:r>
    </w:p>
    <w:p>
      <w:pPr>
        <w:spacing w:before="160" w:after="160"/>
      </w:pPr>
      <w:r>
        <w:t>The SME capital market has the potential to play a much larger role in providing growth capital to India's emerging businesses. The challenge is to ensure that regulatory simplification goes hand in hand with transparency, governance and investor protection.</w:t>
      </w:r>
    </w:p>
    <w:p>
      <w:pPr>
        <w:spacing w:before="160" w:after="160"/>
      </w:pPr>
      <w:r>
        <w:t>Please note that the proposals are under consideration and may change following SEBI's consultation process.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